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F49F" w14:textId="77777777" w:rsidR="00D9610D" w:rsidRDefault="00D9610D" w:rsidP="6F923982">
      <w:pPr>
        <w:spacing w:line="278" w:lineRule="auto"/>
        <w:rPr>
          <w:b/>
          <w:bCs/>
        </w:rPr>
      </w:pPr>
    </w:p>
    <w:p w14:paraId="2C078E63" w14:textId="5F0216A2" w:rsidR="001B1B2D" w:rsidRDefault="7E35FCFB" w:rsidP="6F923982">
      <w:pPr>
        <w:spacing w:line="278" w:lineRule="auto"/>
        <w:rPr>
          <w:b/>
          <w:bCs/>
        </w:rPr>
      </w:pPr>
      <w:proofErr w:type="spellStart"/>
      <w:r w:rsidRPr="6F923982">
        <w:rPr>
          <w:b/>
          <w:bCs/>
        </w:rPr>
        <w:t>Speciali</w:t>
      </w:r>
      <w:r w:rsidR="00414DC6">
        <w:rPr>
          <w:b/>
          <w:bCs/>
        </w:rPr>
        <w:t>s</w:t>
      </w:r>
      <w:r w:rsidRPr="6F923982">
        <w:rPr>
          <w:b/>
          <w:bCs/>
        </w:rPr>
        <w:t>ation</w:t>
      </w:r>
      <w:proofErr w:type="spellEnd"/>
      <w:r w:rsidRPr="6F923982">
        <w:rPr>
          <w:b/>
          <w:bCs/>
        </w:rPr>
        <w:t xml:space="preserve"> package</w:t>
      </w:r>
      <w:r w:rsidR="00500280">
        <w:rPr>
          <w:b/>
          <w:bCs/>
        </w:rPr>
        <w:t xml:space="preserve"> 3</w:t>
      </w:r>
      <w:r w:rsidRPr="6F923982">
        <w:rPr>
          <w:b/>
          <w:bCs/>
        </w:rPr>
        <w:t xml:space="preserve">: </w:t>
      </w:r>
      <w:r w:rsidR="00414DC6">
        <w:rPr>
          <w:b/>
          <w:bCs/>
        </w:rPr>
        <w:br/>
      </w:r>
      <w:r w:rsidR="2CB2BE55" w:rsidRPr="6F923982">
        <w:rPr>
          <w:b/>
          <w:bCs/>
        </w:rPr>
        <w:t>The Digital State</w:t>
      </w:r>
      <w:r w:rsidR="48138218" w:rsidRPr="6F923982">
        <w:rPr>
          <w:b/>
          <w:bCs/>
        </w:rPr>
        <w:t xml:space="preserve"> (7.5 ECTS)</w:t>
      </w:r>
      <w:r w:rsidR="2CB2BE55" w:rsidRPr="6F923982">
        <w:rPr>
          <w:b/>
          <w:bCs/>
        </w:rPr>
        <w:t xml:space="preserve"> and The Digital State in Practice</w:t>
      </w:r>
      <w:r w:rsidR="7CD9D54E" w:rsidRPr="6F923982">
        <w:rPr>
          <w:b/>
          <w:bCs/>
        </w:rPr>
        <w:t xml:space="preserve"> (15 ECTS)</w:t>
      </w:r>
    </w:p>
    <w:p w14:paraId="51842080" w14:textId="679EEF41" w:rsidR="516F79D9" w:rsidRDefault="2CB2BE55" w:rsidP="6F923982">
      <w:pPr>
        <w:shd w:val="clear" w:color="auto" w:fill="FFFFFF" w:themeFill="background1"/>
        <w:spacing w:before="225" w:after="225"/>
        <w:rPr>
          <w:color w:val="000000" w:themeColor="text1"/>
        </w:rPr>
      </w:pPr>
      <w:r w:rsidRPr="6F923982">
        <w:t xml:space="preserve">The societal changes brought about by digitalization are particularly visible in the public sector. A successful digital future requires a thorough engagement with the motivations, priorities, narratives, practices, and discourses that drive digitalization processes. It also requires a set of methodological tools and theoretical concepts tailored to </w:t>
      </w:r>
      <w:proofErr w:type="gramStart"/>
      <w:r w:rsidRPr="6F923982">
        <w:t>the technologies</w:t>
      </w:r>
      <w:proofErr w:type="gramEnd"/>
      <w:r w:rsidRPr="6F923982">
        <w:t xml:space="preserve"> at the core of digitalization—such as AI, machine learning, algorithms, data centers, biometric data, satellite-based control mechanisms, social media platforms, digital patient records, and user portals.</w:t>
      </w:r>
    </w:p>
    <w:p w14:paraId="29B6F5A2" w14:textId="17D1CF3B" w:rsidR="516F79D9" w:rsidRDefault="2CB2BE55" w:rsidP="6F923982">
      <w:pPr>
        <w:shd w:val="clear" w:color="auto" w:fill="FFFFFF" w:themeFill="background1"/>
        <w:spacing w:before="225" w:after="225"/>
        <w:rPr>
          <w:color w:val="000000" w:themeColor="text1"/>
        </w:rPr>
      </w:pPr>
      <w:r w:rsidRPr="6F923982">
        <w:t xml:space="preserve">This specialization gives </w:t>
      </w:r>
      <w:proofErr w:type="spellStart"/>
      <w:r w:rsidRPr="6F923982">
        <w:t>you</w:t>
      </w:r>
      <w:proofErr w:type="spellEnd"/>
      <w:r w:rsidRPr="6F923982">
        <w:t xml:space="preserve"> insight into </w:t>
      </w:r>
      <w:proofErr w:type="gramStart"/>
      <w:r w:rsidRPr="6F923982">
        <w:t>the history</w:t>
      </w:r>
      <w:proofErr w:type="gramEnd"/>
      <w:r w:rsidRPr="6F923982">
        <w:t xml:space="preserve">, theory, politics, expectations, challenges, practices, and methods of digitalization initiatives. The two parts of the specialization are both methodologically oriented toward ethnographic studies and draw on theoretical approaches from anthropology, science and technology studies, and organizational studies. In the first part of the specialization, </w:t>
      </w:r>
      <w:r w:rsidRPr="6F923982">
        <w:rPr>
          <w:i/>
          <w:iCs/>
        </w:rPr>
        <w:t>The Digital State</w:t>
      </w:r>
      <w:r w:rsidRPr="6F923982">
        <w:t xml:space="preserve">, you develop a historically informed foundation for thinking about technologies and state projects over time, as well as a global perspective on public digitalization initiatives. In the second part, </w:t>
      </w:r>
      <w:r w:rsidRPr="6F923982">
        <w:rPr>
          <w:i/>
          <w:iCs/>
        </w:rPr>
        <w:t>The Digital State in Practice</w:t>
      </w:r>
      <w:r w:rsidRPr="6F923982">
        <w:t>, students conduct ethnographic research projects within the public sector and focus on the various digitalization processes currently underway in the Danish public sector.</w:t>
      </w:r>
    </w:p>
    <w:p w14:paraId="67FBA7FE" w14:textId="1FBFD733" w:rsidR="516F79D9" w:rsidRDefault="2CB2BE55" w:rsidP="6F923982">
      <w:pPr>
        <w:shd w:val="clear" w:color="auto" w:fill="FFFFFF" w:themeFill="background1"/>
        <w:spacing w:before="225" w:after="225"/>
        <w:rPr>
          <w:color w:val="000000" w:themeColor="text1"/>
        </w:rPr>
      </w:pPr>
      <w:r w:rsidRPr="6F923982">
        <w:t>This specialization provides you with critical tools to analyze, conceptualize, and contextualize the changes around us. You will develop your methodological competencies and acquire techniques to study public digitalization yourself. Together, the two parts form a specialization that offers both a concrete and comparative understanding of the digitalized state in Scandinavia and equips you to lead the transformations of the public sector—whether within the public sector itself or as a private IT consultant working with the public sector.</w:t>
      </w:r>
    </w:p>
    <w:p w14:paraId="37DA9782" w14:textId="5495A75F" w:rsidR="2AAC6A06" w:rsidRDefault="2AAC6A06" w:rsidP="6F923982">
      <w:pPr>
        <w:rPr>
          <w:color w:val="000000" w:themeColor="text1"/>
        </w:rPr>
      </w:pPr>
    </w:p>
    <w:p w14:paraId="48A6CBB5" w14:textId="1C936268" w:rsidR="2AAC6A06" w:rsidRDefault="2AAC6A06" w:rsidP="6F923982">
      <w:pPr>
        <w:rPr>
          <w:color w:val="000000" w:themeColor="text1"/>
        </w:rPr>
      </w:pPr>
    </w:p>
    <w:p w14:paraId="4A7DE5C0" w14:textId="7AF48125" w:rsidR="6F923982" w:rsidRDefault="6F923982" w:rsidP="6F923982"/>
    <w:p w14:paraId="762CAD0B" w14:textId="2A16CDCF" w:rsidR="6F923982" w:rsidRDefault="6F923982" w:rsidP="6F923982"/>
    <w:p w14:paraId="1782F091" w14:textId="6B2A30C2" w:rsidR="2AAC6A06" w:rsidRDefault="2AAC6A06" w:rsidP="6F923982">
      <w:pPr>
        <w:rPr>
          <w:color w:val="000000" w:themeColor="text1"/>
        </w:rPr>
      </w:pPr>
    </w:p>
    <w:sectPr w:rsidR="2AAC6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75D57"/>
    <w:multiLevelType w:val="hybridMultilevel"/>
    <w:tmpl w:val="C2721B86"/>
    <w:lvl w:ilvl="0" w:tplc="261E9E12">
      <w:start w:val="1"/>
      <w:numFmt w:val="bullet"/>
      <w:lvlText w:val="·"/>
      <w:lvlJc w:val="left"/>
      <w:pPr>
        <w:ind w:left="720" w:hanging="360"/>
      </w:pPr>
      <w:rPr>
        <w:rFonts w:ascii="Symbol" w:hAnsi="Symbol" w:hint="default"/>
      </w:rPr>
    </w:lvl>
    <w:lvl w:ilvl="1" w:tplc="8AA68072">
      <w:start w:val="1"/>
      <w:numFmt w:val="bullet"/>
      <w:lvlText w:val="o"/>
      <w:lvlJc w:val="left"/>
      <w:pPr>
        <w:ind w:left="1440" w:hanging="360"/>
      </w:pPr>
      <w:rPr>
        <w:rFonts w:ascii="Courier New" w:hAnsi="Courier New" w:hint="default"/>
      </w:rPr>
    </w:lvl>
    <w:lvl w:ilvl="2" w:tplc="3E604F04">
      <w:start w:val="1"/>
      <w:numFmt w:val="bullet"/>
      <w:lvlText w:val=""/>
      <w:lvlJc w:val="left"/>
      <w:pPr>
        <w:ind w:left="2160" w:hanging="360"/>
      </w:pPr>
      <w:rPr>
        <w:rFonts w:ascii="Wingdings" w:hAnsi="Wingdings" w:hint="default"/>
      </w:rPr>
    </w:lvl>
    <w:lvl w:ilvl="3" w:tplc="AE9644BA">
      <w:start w:val="1"/>
      <w:numFmt w:val="bullet"/>
      <w:lvlText w:val=""/>
      <w:lvlJc w:val="left"/>
      <w:pPr>
        <w:ind w:left="2880" w:hanging="360"/>
      </w:pPr>
      <w:rPr>
        <w:rFonts w:ascii="Symbol" w:hAnsi="Symbol" w:hint="default"/>
      </w:rPr>
    </w:lvl>
    <w:lvl w:ilvl="4" w:tplc="22B603A8">
      <w:start w:val="1"/>
      <w:numFmt w:val="bullet"/>
      <w:lvlText w:val="o"/>
      <w:lvlJc w:val="left"/>
      <w:pPr>
        <w:ind w:left="3600" w:hanging="360"/>
      </w:pPr>
      <w:rPr>
        <w:rFonts w:ascii="Courier New" w:hAnsi="Courier New" w:hint="default"/>
      </w:rPr>
    </w:lvl>
    <w:lvl w:ilvl="5" w:tplc="A418D832">
      <w:start w:val="1"/>
      <w:numFmt w:val="bullet"/>
      <w:lvlText w:val=""/>
      <w:lvlJc w:val="left"/>
      <w:pPr>
        <w:ind w:left="4320" w:hanging="360"/>
      </w:pPr>
      <w:rPr>
        <w:rFonts w:ascii="Wingdings" w:hAnsi="Wingdings" w:hint="default"/>
      </w:rPr>
    </w:lvl>
    <w:lvl w:ilvl="6" w:tplc="A1604CCC">
      <w:start w:val="1"/>
      <w:numFmt w:val="bullet"/>
      <w:lvlText w:val=""/>
      <w:lvlJc w:val="left"/>
      <w:pPr>
        <w:ind w:left="5040" w:hanging="360"/>
      </w:pPr>
      <w:rPr>
        <w:rFonts w:ascii="Symbol" w:hAnsi="Symbol" w:hint="default"/>
      </w:rPr>
    </w:lvl>
    <w:lvl w:ilvl="7" w:tplc="ADDC7230">
      <w:start w:val="1"/>
      <w:numFmt w:val="bullet"/>
      <w:lvlText w:val="o"/>
      <w:lvlJc w:val="left"/>
      <w:pPr>
        <w:ind w:left="5760" w:hanging="360"/>
      </w:pPr>
      <w:rPr>
        <w:rFonts w:ascii="Courier New" w:hAnsi="Courier New" w:hint="default"/>
      </w:rPr>
    </w:lvl>
    <w:lvl w:ilvl="8" w:tplc="010C8AE8">
      <w:start w:val="1"/>
      <w:numFmt w:val="bullet"/>
      <w:lvlText w:val=""/>
      <w:lvlJc w:val="left"/>
      <w:pPr>
        <w:ind w:left="6480" w:hanging="360"/>
      </w:pPr>
      <w:rPr>
        <w:rFonts w:ascii="Wingdings" w:hAnsi="Wingdings" w:hint="default"/>
      </w:rPr>
    </w:lvl>
  </w:abstractNum>
  <w:num w:numId="1" w16cid:durableId="127286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AB48BE"/>
    <w:rsid w:val="001B1B2D"/>
    <w:rsid w:val="0034597D"/>
    <w:rsid w:val="00414DC6"/>
    <w:rsid w:val="00500280"/>
    <w:rsid w:val="006C4B83"/>
    <w:rsid w:val="00934E4A"/>
    <w:rsid w:val="00B15D74"/>
    <w:rsid w:val="00C94019"/>
    <w:rsid w:val="00D9610D"/>
    <w:rsid w:val="01AB48BE"/>
    <w:rsid w:val="0D6CADE5"/>
    <w:rsid w:val="12495562"/>
    <w:rsid w:val="12EA508D"/>
    <w:rsid w:val="13E087F9"/>
    <w:rsid w:val="14123B91"/>
    <w:rsid w:val="14D632EF"/>
    <w:rsid w:val="16141A30"/>
    <w:rsid w:val="1683D6D8"/>
    <w:rsid w:val="17BC7C8D"/>
    <w:rsid w:val="19842615"/>
    <w:rsid w:val="26A29F30"/>
    <w:rsid w:val="290FAFF2"/>
    <w:rsid w:val="29DA8407"/>
    <w:rsid w:val="2AAC6A06"/>
    <w:rsid w:val="2CB2BE55"/>
    <w:rsid w:val="2E01F6D0"/>
    <w:rsid w:val="2E64AF6E"/>
    <w:rsid w:val="3983D37B"/>
    <w:rsid w:val="3A904C5B"/>
    <w:rsid w:val="3B88B851"/>
    <w:rsid w:val="3C08470B"/>
    <w:rsid w:val="405CFE55"/>
    <w:rsid w:val="464DC4E0"/>
    <w:rsid w:val="48138218"/>
    <w:rsid w:val="516F79D9"/>
    <w:rsid w:val="5C172028"/>
    <w:rsid w:val="5CB726F1"/>
    <w:rsid w:val="5CC9BF63"/>
    <w:rsid w:val="5FA718B5"/>
    <w:rsid w:val="61A3CA6F"/>
    <w:rsid w:val="65BC97D0"/>
    <w:rsid w:val="680F86CF"/>
    <w:rsid w:val="686E3B44"/>
    <w:rsid w:val="6F923982"/>
    <w:rsid w:val="725FC43C"/>
    <w:rsid w:val="7CD9D54E"/>
    <w:rsid w:val="7DA91C41"/>
    <w:rsid w:val="7E35F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48BE"/>
  <w15:chartTrackingRefBased/>
  <w15:docId w15:val="{1F011D35-B035-444E-9604-C0C3DF81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AAC6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ver50timer xmlns="44a77095-a80b-4ffb-b5e9-12a37f9d23e4" xsi:nil="true"/>
    <Label xmlns="44a77095-a80b-4ffb-b5e9-12a37f9d23e4" xsi:nil="true"/>
    <TaxCatchAll xmlns="326a7979-2966-4947-95d6-a3f6ed197f83" xsi:nil="true"/>
    <lcf76f155ced4ddcb4097134ff3c332f xmlns="44a77095-a80b-4ffb-b5e9-12a37f9d23e4">
      <Terms xmlns="http://schemas.microsoft.com/office/infopath/2007/PartnerControls"/>
    </lcf76f155ced4ddcb4097134ff3c332f>
    <Link xmlns="44a77095-a80b-4ffb-b5e9-12a37f9d23e4">
      <Url xsi:nil="true"/>
      <Description xsi:nil="true"/>
    </Link>
    <Tidspunkt xmlns="44a77095-a80b-4ffb-b5e9-12a37f9d23e4" xsi:nil="true"/>
    <Brugere xmlns="44a77095-a80b-4ffb-b5e9-12a37f9d23e4">
      <UserInfo>
        <DisplayName/>
        <AccountId xsi:nil="true"/>
        <AccountType/>
      </UserInfo>
    </Bruger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1930DE0482D2244B573E37C80D13D5C" ma:contentTypeVersion="26" ma:contentTypeDescription="Opret et nyt dokument." ma:contentTypeScope="" ma:versionID="2135c2b81a05efdead2ba01ea78750ad">
  <xsd:schema xmlns:xsd="http://www.w3.org/2001/XMLSchema" xmlns:xs="http://www.w3.org/2001/XMLSchema" xmlns:p="http://schemas.microsoft.com/office/2006/metadata/properties" xmlns:ns2="44a77095-a80b-4ffb-b5e9-12a37f9d23e4" xmlns:ns3="326a7979-2966-4947-95d6-a3f6ed197f83" targetNamespace="http://schemas.microsoft.com/office/2006/metadata/properties" ma:root="true" ma:fieldsID="cb090b5e06ce9b773b9229011f382910" ns2:_="" ns3:_="">
    <xsd:import namespace="44a77095-a80b-4ffb-b5e9-12a37f9d23e4"/>
    <xsd:import namespace="326a7979-2966-4947-95d6-a3f6ed197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ink" minOccurs="0"/>
                <xsd:element ref="ns2:Brugere"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abel" minOccurs="0"/>
                <xsd:element ref="ns2:Over50timer" minOccurs="0"/>
                <xsd:element ref="ns2:MediaLengthInSeconds" minOccurs="0"/>
                <xsd:element ref="ns2:lcf76f155ced4ddcb4097134ff3c332f" minOccurs="0"/>
                <xsd:element ref="ns3:TaxCatchAll" minOccurs="0"/>
                <xsd:element ref="ns2:Tidspunkt"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7095-a80b-4ffb-b5e9-12a37f9d2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Brugere" ma:index="13" nillable="true" ma:displayName="Brugere" ma:format="Dropdown" ma:list="UserInfo" ma:SharePointGroup="0" ma:internalName="Brug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abel" ma:index="22" nillable="true" ma:displayName="Label" ma:format="Dropdown" ma:internalName="Label">
      <xsd:simpleType>
        <xsd:restriction base="dms:Choice">
          <xsd:enumeration value="GDPR"/>
          <xsd:enumeration value="Kontrolleret"/>
        </xsd:restriction>
      </xsd:simpleType>
    </xsd:element>
    <xsd:element name="Over50timer" ma:index="23" nillable="true" ma:displayName="Over 50 timer" ma:format="Dropdown" ma:internalName="Over50timer">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7df8619d-ff31-4982-ad5c-b33dabae477f" ma:termSetId="09814cd3-568e-fe90-9814-8d621ff8fb84" ma:anchorId="fba54fb3-c3e1-fe81-a776-ca4b69148c4d" ma:open="true" ma:isKeyword="false">
      <xsd:complexType>
        <xsd:sequence>
          <xsd:element ref="pc:Terms" minOccurs="0" maxOccurs="1"/>
        </xsd:sequence>
      </xsd:complexType>
    </xsd:element>
    <xsd:element name="Tidspunkt" ma:index="28" nillable="true" ma:displayName="Tidspunkt" ma:format="DateOnly" ma:internalName="Tidspunkt">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a7979-2966-4947-95d6-a3f6ed197f8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7" nillable="true" ma:displayName="Taxonomy Catch All Column" ma:hidden="true" ma:list="{3dca52e3-6a93-49c8-b842-35bbf7ba070a}" ma:internalName="TaxCatchAll" ma:showField="CatchAllData" ma:web="326a7979-2966-4947-95d6-a3f6ed197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AD278-E759-47F1-B4FD-75E398165BDD}">
  <ds:schemaRefs>
    <ds:schemaRef ds:uri="http://schemas.microsoft.com/office/2006/metadata/properties"/>
    <ds:schemaRef ds:uri="http://schemas.microsoft.com/office/infopath/2007/PartnerControls"/>
    <ds:schemaRef ds:uri="44a77095-a80b-4ffb-b5e9-12a37f9d23e4"/>
    <ds:schemaRef ds:uri="326a7979-2966-4947-95d6-a3f6ed197f83"/>
  </ds:schemaRefs>
</ds:datastoreItem>
</file>

<file path=customXml/itemProps2.xml><?xml version="1.0" encoding="utf-8"?>
<ds:datastoreItem xmlns:ds="http://schemas.openxmlformats.org/officeDocument/2006/customXml" ds:itemID="{F1B64F12-8D56-497F-887F-195C28AC64A5}"/>
</file>

<file path=customXml/itemProps3.xml><?xml version="1.0" encoding="utf-8"?>
<ds:datastoreItem xmlns:ds="http://schemas.openxmlformats.org/officeDocument/2006/customXml" ds:itemID="{63736915-3ED0-4058-910E-E24351B3D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1764</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Frydendahl Bjørnsteen</dc:creator>
  <cp:keywords/>
  <dc:description/>
  <cp:lastModifiedBy>Katrine Nyholm-Larsen</cp:lastModifiedBy>
  <cp:revision>2</cp:revision>
  <dcterms:created xsi:type="dcterms:W3CDTF">2025-10-28T14:19:00Z</dcterms:created>
  <dcterms:modified xsi:type="dcterms:W3CDTF">2025-10-28T14:19:00Z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0x01010001930DE0482D2244B573E37C80D13D5C</vt:lpwstr>
  </property>
  <property fmtid="{D5CDD505-2E9C-101B-9397-08002B2CF9AE}" pid="3" name="MediaServiceImageTags">
    <vt:lpwstr/>
  </property>
</Properties>
</file>